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5A33" w:rsidRDefault="00613C34" w:rsidP="0094260E">
      <w:pPr>
        <w:spacing w:after="0" w:line="480" w:lineRule="auto"/>
        <w:rPr>
          <w:rFonts w:ascii="Times New Roman" w:hAnsi="Times New Roman" w:cs="Times New Roman"/>
          <w:sz w:val="24"/>
          <w:szCs w:val="24"/>
        </w:rPr>
      </w:pPr>
      <w:r>
        <w:rPr>
          <w:rFonts w:ascii="Times New Roman" w:hAnsi="Times New Roman" w:cs="Times New Roman"/>
          <w:sz w:val="24"/>
          <w:szCs w:val="24"/>
        </w:rPr>
        <w:t>Name:</w:t>
      </w:r>
    </w:p>
    <w:p w:rsidR="00570715" w:rsidRDefault="00613C34" w:rsidP="0094260E">
      <w:pPr>
        <w:spacing w:after="0" w:line="480" w:lineRule="auto"/>
        <w:rPr>
          <w:rFonts w:ascii="Times New Roman" w:hAnsi="Times New Roman" w:cs="Times New Roman"/>
          <w:sz w:val="24"/>
          <w:szCs w:val="24"/>
        </w:rPr>
      </w:pPr>
      <w:r>
        <w:rPr>
          <w:rFonts w:ascii="Times New Roman" w:hAnsi="Times New Roman" w:cs="Times New Roman"/>
          <w:sz w:val="24"/>
          <w:szCs w:val="24"/>
        </w:rPr>
        <w:t>Instructor:</w:t>
      </w:r>
    </w:p>
    <w:p w:rsidR="00570715" w:rsidRDefault="00613C34" w:rsidP="0094260E">
      <w:pPr>
        <w:spacing w:after="0" w:line="480" w:lineRule="auto"/>
        <w:rPr>
          <w:rFonts w:ascii="Times New Roman" w:hAnsi="Times New Roman" w:cs="Times New Roman"/>
          <w:sz w:val="24"/>
          <w:szCs w:val="24"/>
        </w:rPr>
      </w:pPr>
      <w:r>
        <w:rPr>
          <w:rFonts w:ascii="Times New Roman" w:hAnsi="Times New Roman" w:cs="Times New Roman"/>
          <w:sz w:val="24"/>
          <w:szCs w:val="24"/>
        </w:rPr>
        <w:t>Institution:</w:t>
      </w:r>
    </w:p>
    <w:p w:rsidR="00570715" w:rsidRDefault="00613C34" w:rsidP="0094260E">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570715" w:rsidRPr="002809FC" w:rsidRDefault="00996DCD" w:rsidP="0094260E">
      <w:pPr>
        <w:spacing w:after="0" w:line="480" w:lineRule="auto"/>
        <w:rPr>
          <w:rFonts w:ascii="Times New Roman" w:hAnsi="Times New Roman" w:cs="Times New Roman"/>
          <w:sz w:val="24"/>
          <w:szCs w:val="24"/>
        </w:rPr>
      </w:pPr>
    </w:p>
    <w:p w:rsidR="00AC5A33" w:rsidRDefault="00613C34" w:rsidP="0094260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Case Analysis </w:t>
      </w:r>
      <w:r w:rsidRPr="0094260E">
        <w:rPr>
          <w:rFonts w:ascii="Times New Roman" w:hAnsi="Times New Roman" w:cs="Times New Roman"/>
          <w:sz w:val="24"/>
          <w:szCs w:val="24"/>
        </w:rPr>
        <w:t>Gun-Free School Zones Act of 1990</w:t>
      </w:r>
      <w:r>
        <w:rPr>
          <w:rFonts w:ascii="Times New Roman" w:hAnsi="Times New Roman" w:cs="Times New Roman"/>
          <w:sz w:val="24"/>
          <w:szCs w:val="24"/>
        </w:rPr>
        <w:t xml:space="preserve"> (GFSZ)</w:t>
      </w:r>
    </w:p>
    <w:p w:rsidR="00FE7FC9" w:rsidRPr="0094260E" w:rsidRDefault="00613C34" w:rsidP="0094260E">
      <w:pPr>
        <w:spacing w:after="0" w:line="480" w:lineRule="auto"/>
        <w:rPr>
          <w:rFonts w:ascii="Times New Roman" w:hAnsi="Times New Roman" w:cs="Times New Roman"/>
          <w:b/>
          <w:sz w:val="24"/>
          <w:szCs w:val="24"/>
        </w:rPr>
      </w:pPr>
      <w:r w:rsidRPr="0094260E">
        <w:rPr>
          <w:rFonts w:ascii="Times New Roman" w:hAnsi="Times New Roman" w:cs="Times New Roman"/>
          <w:b/>
          <w:sz w:val="24"/>
          <w:szCs w:val="24"/>
        </w:rPr>
        <w:t>Statement of Facts</w:t>
      </w:r>
    </w:p>
    <w:p w:rsidR="00877701" w:rsidRDefault="00613C34" w:rsidP="0094260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Congress established that carrying a firearm within school premises is a crime under the Gun-Free School Zones Act of 1990 (the “Act”). There was a scene at the Edison high school in San Antonio Texas when a student was found in possession of a gun. He was accused under the Act. However, he challenged the charge. The district court denied his motion, establishing that the Act was a proper way of applying for Congress’s power that is found within the Commerce Clause. The student was later tried in the court and convicted under the Act. </w:t>
      </w:r>
    </w:p>
    <w:p w:rsidR="00FE7FC9" w:rsidRPr="0055409C" w:rsidRDefault="00613C34" w:rsidP="0094260E">
      <w:pPr>
        <w:spacing w:after="0" w:line="480" w:lineRule="auto"/>
        <w:rPr>
          <w:rFonts w:ascii="Times New Roman" w:hAnsi="Times New Roman" w:cs="Times New Roman"/>
          <w:b/>
          <w:sz w:val="24"/>
          <w:szCs w:val="24"/>
        </w:rPr>
      </w:pPr>
      <w:r w:rsidRPr="0055409C">
        <w:rPr>
          <w:rFonts w:ascii="Times New Roman" w:hAnsi="Times New Roman" w:cs="Times New Roman"/>
          <w:b/>
          <w:sz w:val="24"/>
          <w:szCs w:val="24"/>
        </w:rPr>
        <w:t>The Procedure</w:t>
      </w:r>
    </w:p>
    <w:p w:rsidR="00FE7FC9" w:rsidRDefault="00613C34" w:rsidP="0055409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student appealed his case after finding that he did not intend to cause harm. It was at the Fifth Circuit Court that student’s appeal was reversed. The conviction was reversed after establishing that the Act was far much beyond Congress’s Commerce power. It was then that The U.S. Supreme Court award certiorari</w:t>
      </w:r>
      <w:r w:rsidRPr="005C5008">
        <w:t xml:space="preserve"> </w:t>
      </w:r>
      <w:r>
        <w:t>(</w:t>
      </w:r>
      <w:r w:rsidRPr="005C5008">
        <w:rPr>
          <w:rFonts w:ascii="Times New Roman" w:hAnsi="Times New Roman" w:cs="Times New Roman"/>
          <w:sz w:val="24"/>
          <w:szCs w:val="24"/>
        </w:rPr>
        <w:t>the United States v. Lopez</w:t>
      </w:r>
      <w:r>
        <w:rPr>
          <w:rFonts w:ascii="Times New Roman" w:hAnsi="Times New Roman" w:cs="Times New Roman"/>
          <w:sz w:val="24"/>
          <w:szCs w:val="24"/>
        </w:rPr>
        <w:t>).</w:t>
      </w:r>
    </w:p>
    <w:p w:rsidR="00DA6476" w:rsidRPr="0055409C" w:rsidRDefault="00613C34" w:rsidP="0094260E">
      <w:pPr>
        <w:spacing w:after="0" w:line="480" w:lineRule="auto"/>
        <w:rPr>
          <w:rFonts w:ascii="Times New Roman" w:hAnsi="Times New Roman" w:cs="Times New Roman"/>
          <w:b/>
          <w:sz w:val="24"/>
          <w:szCs w:val="24"/>
        </w:rPr>
      </w:pPr>
      <w:r w:rsidRPr="0055409C">
        <w:rPr>
          <w:rFonts w:ascii="Times New Roman" w:hAnsi="Times New Roman" w:cs="Times New Roman"/>
          <w:b/>
          <w:sz w:val="24"/>
          <w:szCs w:val="24"/>
        </w:rPr>
        <w:t>Issue</w:t>
      </w:r>
    </w:p>
    <w:p w:rsidR="00DA6476" w:rsidRDefault="00613C34" w:rsidP="0055409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main issue is the Gun Free Zones Act of </w:t>
      </w:r>
      <w:proofErr w:type="gramStart"/>
      <w:r>
        <w:rPr>
          <w:rFonts w:ascii="Times New Roman" w:hAnsi="Times New Roman" w:cs="Times New Roman"/>
          <w:sz w:val="24"/>
          <w:szCs w:val="24"/>
        </w:rPr>
        <w:t>1990, that</w:t>
      </w:r>
      <w:proofErr w:type="gramEnd"/>
      <w:r>
        <w:rPr>
          <w:rFonts w:ascii="Times New Roman" w:hAnsi="Times New Roman" w:cs="Times New Roman"/>
          <w:sz w:val="24"/>
          <w:szCs w:val="24"/>
        </w:rPr>
        <w:t xml:space="preserve"> forbids any person who knowingly carries a gun into school compound, it is found out to be unconstitutional because it goes beyond Congress’s Commerce Clause authority </w:t>
      </w:r>
      <w:r w:rsidRPr="005C5008">
        <w:rPr>
          <w:rFonts w:ascii="Times New Roman" w:hAnsi="Times New Roman" w:cs="Times New Roman"/>
          <w:sz w:val="24"/>
          <w:szCs w:val="24"/>
        </w:rPr>
        <w:t>(Kramer, 230)</w:t>
      </w:r>
      <w:r>
        <w:rPr>
          <w:rFonts w:ascii="Times New Roman" w:hAnsi="Times New Roman" w:cs="Times New Roman"/>
          <w:sz w:val="24"/>
          <w:szCs w:val="24"/>
        </w:rPr>
        <w:t xml:space="preserve">. </w:t>
      </w:r>
    </w:p>
    <w:p w:rsidR="00DA6476" w:rsidRPr="0055409C" w:rsidRDefault="00613C34" w:rsidP="0094260E">
      <w:pPr>
        <w:spacing w:after="0" w:line="480" w:lineRule="auto"/>
        <w:rPr>
          <w:rFonts w:ascii="Times New Roman" w:hAnsi="Times New Roman" w:cs="Times New Roman"/>
          <w:b/>
          <w:sz w:val="24"/>
          <w:szCs w:val="24"/>
        </w:rPr>
      </w:pPr>
      <w:r w:rsidRPr="0055409C">
        <w:rPr>
          <w:rFonts w:ascii="Times New Roman" w:hAnsi="Times New Roman" w:cs="Times New Roman"/>
          <w:b/>
          <w:sz w:val="24"/>
          <w:szCs w:val="24"/>
        </w:rPr>
        <w:t>Legal Principle Applied</w:t>
      </w:r>
    </w:p>
    <w:p w:rsidR="00DA6476" w:rsidRDefault="00613C34" w:rsidP="0055409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Congress’s power to control activities under the Commerce Clause applies to the activities that substantially affect interstate commerce. Possessing a gun within a school zone does not affect interstate commerce.</w:t>
      </w:r>
    </w:p>
    <w:p w:rsidR="00DA6476" w:rsidRPr="0055409C" w:rsidRDefault="00613C34" w:rsidP="0094260E">
      <w:pPr>
        <w:spacing w:after="0" w:line="480" w:lineRule="auto"/>
        <w:rPr>
          <w:rFonts w:ascii="Times New Roman" w:hAnsi="Times New Roman" w:cs="Times New Roman"/>
          <w:b/>
          <w:sz w:val="24"/>
          <w:szCs w:val="24"/>
        </w:rPr>
      </w:pPr>
      <w:r w:rsidRPr="0055409C">
        <w:rPr>
          <w:rFonts w:ascii="Times New Roman" w:hAnsi="Times New Roman" w:cs="Times New Roman"/>
          <w:b/>
          <w:sz w:val="24"/>
          <w:szCs w:val="24"/>
        </w:rPr>
        <w:t>Reasoning</w:t>
      </w:r>
    </w:p>
    <w:p w:rsidR="0055409C" w:rsidRDefault="00613C34" w:rsidP="0055409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court managed to establish three major areas of activity that Congress, applying the commerce power, may control. This area includes the various channels of interstate commerce; other activities which might have a considerable affect on interstate commerce and the instrumentalities that are found in the interstate commerce </w:t>
      </w:r>
      <w:r w:rsidRPr="005C5008">
        <w:rPr>
          <w:rFonts w:ascii="Times New Roman" w:hAnsi="Times New Roman" w:cs="Times New Roman"/>
          <w:sz w:val="24"/>
          <w:szCs w:val="24"/>
        </w:rPr>
        <w:t>(Kramer, 230)</w:t>
      </w:r>
      <w:r>
        <w:rPr>
          <w:rFonts w:ascii="Times New Roman" w:hAnsi="Times New Roman" w:cs="Times New Roman"/>
          <w:sz w:val="24"/>
          <w:szCs w:val="24"/>
        </w:rPr>
        <w:t xml:space="preserve">.In this case, the Act has nothing in relation to a particular economic enterprise or commerce. Additionally, it is not an important part of a bigger regulation of economic activity. </w:t>
      </w:r>
    </w:p>
    <w:p w:rsidR="0055409C" w:rsidRDefault="00613C34" w:rsidP="0055409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Act does not have an express jurisdiction element which would limit its range to a distinctive Set of firearm ownership or possessions that would have an impact on interstate commerce. Furthermore, the act lacks legislative history or findings to explain why there is an application of commerce power. The government’s argument is that unsafe school environment results in poor national productivity or the gun violence in schools results to nationwide crime</w:t>
      </w:r>
      <w:r w:rsidRPr="005C5008">
        <w:t xml:space="preserve"> </w:t>
      </w:r>
      <w:r>
        <w:t>(</w:t>
      </w:r>
      <w:r w:rsidRPr="005C5008">
        <w:rPr>
          <w:rFonts w:ascii="Times New Roman" w:hAnsi="Times New Roman" w:cs="Times New Roman"/>
          <w:sz w:val="24"/>
          <w:szCs w:val="24"/>
        </w:rPr>
        <w:t>the United States v. Lopez</w:t>
      </w:r>
      <w:r>
        <w:rPr>
          <w:rFonts w:ascii="Times New Roman" w:hAnsi="Times New Roman" w:cs="Times New Roman"/>
          <w:sz w:val="24"/>
          <w:szCs w:val="24"/>
        </w:rPr>
        <w:t xml:space="preserve">). </w:t>
      </w:r>
    </w:p>
    <w:p w:rsidR="00176039" w:rsidRDefault="00613C34" w:rsidP="0055409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act is found in congress’s commerce power looking at the three principles. The ability of commerce power to cover local activity given that it had enough affect on interstate commerce; the court is supposed to judge when the Congress had a rational basis for reaching a conclusion that the activity considerably affects interstates commerce and through application of substantial-affects test, it is important for the court to factor a cumulative impact of the regulation. Founded on the three principles, it is important that the act should have been upheld. This is because the Congress had a rational basis for establishing that guns found in school zones </w:t>
      </w:r>
      <w:r>
        <w:rPr>
          <w:rFonts w:ascii="Times New Roman" w:hAnsi="Times New Roman" w:cs="Times New Roman"/>
          <w:sz w:val="24"/>
          <w:szCs w:val="24"/>
        </w:rPr>
        <w:lastRenderedPageBreak/>
        <w:t>can considerably affect the entire interstate commerce since guns found within the school could pose a great danger that compromises the quality of education (Kramer, 229</w:t>
      </w:r>
      <w:r w:rsidRPr="005C5008">
        <w:rPr>
          <w:rFonts w:ascii="Times New Roman" w:hAnsi="Times New Roman" w:cs="Times New Roman"/>
          <w:sz w:val="24"/>
          <w:szCs w:val="24"/>
        </w:rPr>
        <w:t>)</w:t>
      </w:r>
      <w:r>
        <w:rPr>
          <w:rFonts w:ascii="Times New Roman" w:hAnsi="Times New Roman" w:cs="Times New Roman"/>
          <w:sz w:val="24"/>
          <w:szCs w:val="24"/>
        </w:rPr>
        <w:t>. When there is a cumulative effect of poor education in a country, there is a considerable impact on the economy of the nation. Guns are part of commerce. The Congress's power to control guns in various places must be upheld under the commerce clauses since they bring a lot of dangerous activities.</w:t>
      </w:r>
      <w:bookmarkStart w:id="0" w:name="_GoBack"/>
      <w:bookmarkEnd w:id="0"/>
    </w:p>
    <w:p w:rsidR="0055409C" w:rsidRDefault="00996DCD" w:rsidP="0055409C">
      <w:pPr>
        <w:spacing w:after="0" w:line="480" w:lineRule="auto"/>
        <w:rPr>
          <w:rFonts w:ascii="Times New Roman" w:hAnsi="Times New Roman" w:cs="Times New Roman"/>
          <w:sz w:val="24"/>
          <w:szCs w:val="24"/>
        </w:rPr>
      </w:pPr>
    </w:p>
    <w:p w:rsidR="0055409C" w:rsidRDefault="00996DCD" w:rsidP="0055409C">
      <w:pPr>
        <w:spacing w:after="0" w:line="480" w:lineRule="auto"/>
        <w:rPr>
          <w:rFonts w:ascii="Times New Roman" w:hAnsi="Times New Roman" w:cs="Times New Roman"/>
          <w:sz w:val="24"/>
          <w:szCs w:val="24"/>
        </w:rPr>
      </w:pPr>
    </w:p>
    <w:p w:rsidR="0055409C" w:rsidRDefault="00996DCD" w:rsidP="0055409C">
      <w:pPr>
        <w:spacing w:after="0" w:line="480" w:lineRule="auto"/>
        <w:rPr>
          <w:rFonts w:ascii="Times New Roman" w:hAnsi="Times New Roman" w:cs="Times New Roman"/>
          <w:sz w:val="24"/>
          <w:szCs w:val="24"/>
        </w:rPr>
      </w:pPr>
    </w:p>
    <w:p w:rsidR="0055409C" w:rsidRDefault="00996DCD" w:rsidP="0055409C">
      <w:pPr>
        <w:spacing w:after="0" w:line="480" w:lineRule="auto"/>
        <w:rPr>
          <w:rFonts w:ascii="Times New Roman" w:hAnsi="Times New Roman" w:cs="Times New Roman"/>
          <w:sz w:val="24"/>
          <w:szCs w:val="24"/>
        </w:rPr>
      </w:pPr>
    </w:p>
    <w:p w:rsidR="0055409C" w:rsidRDefault="00996DCD" w:rsidP="0055409C">
      <w:pPr>
        <w:spacing w:after="0" w:line="480" w:lineRule="auto"/>
        <w:rPr>
          <w:rFonts w:ascii="Times New Roman" w:hAnsi="Times New Roman" w:cs="Times New Roman"/>
          <w:sz w:val="24"/>
          <w:szCs w:val="24"/>
        </w:rPr>
      </w:pPr>
    </w:p>
    <w:p w:rsidR="0055409C" w:rsidRDefault="00996DCD" w:rsidP="0055409C">
      <w:pPr>
        <w:spacing w:after="0" w:line="480" w:lineRule="auto"/>
        <w:rPr>
          <w:rFonts w:ascii="Times New Roman" w:hAnsi="Times New Roman" w:cs="Times New Roman"/>
          <w:sz w:val="24"/>
          <w:szCs w:val="24"/>
        </w:rPr>
      </w:pPr>
    </w:p>
    <w:p w:rsidR="0055409C" w:rsidRDefault="00996DCD" w:rsidP="0055409C">
      <w:pPr>
        <w:spacing w:after="0" w:line="480" w:lineRule="auto"/>
        <w:rPr>
          <w:rFonts w:ascii="Times New Roman" w:hAnsi="Times New Roman" w:cs="Times New Roman"/>
          <w:sz w:val="24"/>
          <w:szCs w:val="24"/>
        </w:rPr>
      </w:pPr>
    </w:p>
    <w:p w:rsidR="0055409C" w:rsidRDefault="00996DCD" w:rsidP="0055409C">
      <w:pPr>
        <w:spacing w:after="0" w:line="480" w:lineRule="auto"/>
        <w:rPr>
          <w:rFonts w:ascii="Times New Roman" w:hAnsi="Times New Roman" w:cs="Times New Roman"/>
          <w:sz w:val="24"/>
          <w:szCs w:val="24"/>
        </w:rPr>
      </w:pPr>
    </w:p>
    <w:p w:rsidR="0055409C" w:rsidRDefault="00996DCD" w:rsidP="0055409C">
      <w:pPr>
        <w:spacing w:after="0" w:line="480" w:lineRule="auto"/>
        <w:rPr>
          <w:rFonts w:ascii="Times New Roman" w:hAnsi="Times New Roman" w:cs="Times New Roman"/>
          <w:sz w:val="24"/>
          <w:szCs w:val="24"/>
        </w:rPr>
      </w:pPr>
    </w:p>
    <w:p w:rsidR="0055409C" w:rsidRDefault="00996DCD" w:rsidP="0055409C">
      <w:pPr>
        <w:spacing w:after="0" w:line="480" w:lineRule="auto"/>
        <w:rPr>
          <w:rFonts w:ascii="Times New Roman" w:hAnsi="Times New Roman" w:cs="Times New Roman"/>
          <w:sz w:val="24"/>
          <w:szCs w:val="24"/>
        </w:rPr>
      </w:pPr>
    </w:p>
    <w:p w:rsidR="0055409C" w:rsidRDefault="00996DCD" w:rsidP="0055409C">
      <w:pPr>
        <w:spacing w:after="0" w:line="480" w:lineRule="auto"/>
        <w:rPr>
          <w:rFonts w:ascii="Times New Roman" w:hAnsi="Times New Roman" w:cs="Times New Roman"/>
          <w:sz w:val="24"/>
          <w:szCs w:val="24"/>
        </w:rPr>
      </w:pPr>
    </w:p>
    <w:p w:rsidR="0055409C" w:rsidRDefault="00996DCD" w:rsidP="0055409C">
      <w:pPr>
        <w:spacing w:after="0" w:line="480" w:lineRule="auto"/>
        <w:rPr>
          <w:rFonts w:ascii="Times New Roman" w:hAnsi="Times New Roman" w:cs="Times New Roman"/>
          <w:sz w:val="24"/>
          <w:szCs w:val="24"/>
        </w:rPr>
      </w:pPr>
    </w:p>
    <w:p w:rsidR="0055409C" w:rsidRDefault="00996DCD" w:rsidP="0055409C">
      <w:pPr>
        <w:spacing w:after="0" w:line="480" w:lineRule="auto"/>
        <w:rPr>
          <w:rFonts w:ascii="Times New Roman" w:hAnsi="Times New Roman" w:cs="Times New Roman"/>
          <w:sz w:val="24"/>
          <w:szCs w:val="24"/>
        </w:rPr>
      </w:pPr>
    </w:p>
    <w:p w:rsidR="0055409C" w:rsidRDefault="00996DCD" w:rsidP="0055409C">
      <w:pPr>
        <w:spacing w:after="0" w:line="480" w:lineRule="auto"/>
        <w:rPr>
          <w:rFonts w:ascii="Times New Roman" w:hAnsi="Times New Roman" w:cs="Times New Roman"/>
          <w:sz w:val="24"/>
          <w:szCs w:val="24"/>
        </w:rPr>
      </w:pPr>
    </w:p>
    <w:p w:rsidR="0055409C" w:rsidRDefault="00996DCD" w:rsidP="0055409C">
      <w:pPr>
        <w:spacing w:after="0" w:line="480" w:lineRule="auto"/>
        <w:rPr>
          <w:rFonts w:ascii="Times New Roman" w:hAnsi="Times New Roman" w:cs="Times New Roman"/>
          <w:sz w:val="24"/>
          <w:szCs w:val="24"/>
        </w:rPr>
      </w:pPr>
    </w:p>
    <w:p w:rsidR="0055409C" w:rsidRDefault="00996DCD" w:rsidP="0055409C">
      <w:pPr>
        <w:spacing w:after="0" w:line="480" w:lineRule="auto"/>
        <w:rPr>
          <w:rFonts w:ascii="Times New Roman" w:hAnsi="Times New Roman" w:cs="Times New Roman"/>
          <w:sz w:val="24"/>
          <w:szCs w:val="24"/>
        </w:rPr>
      </w:pPr>
    </w:p>
    <w:p w:rsidR="0055409C" w:rsidRDefault="00996DCD" w:rsidP="0055409C">
      <w:pPr>
        <w:spacing w:after="0" w:line="480" w:lineRule="auto"/>
        <w:rPr>
          <w:rFonts w:ascii="Times New Roman" w:hAnsi="Times New Roman" w:cs="Times New Roman"/>
          <w:sz w:val="24"/>
          <w:szCs w:val="24"/>
        </w:rPr>
      </w:pPr>
    </w:p>
    <w:p w:rsidR="0055409C" w:rsidRDefault="00996DCD" w:rsidP="0055409C">
      <w:pPr>
        <w:spacing w:after="0" w:line="480" w:lineRule="auto"/>
        <w:rPr>
          <w:rFonts w:ascii="Times New Roman" w:hAnsi="Times New Roman" w:cs="Times New Roman"/>
          <w:sz w:val="24"/>
          <w:szCs w:val="24"/>
        </w:rPr>
      </w:pPr>
    </w:p>
    <w:p w:rsidR="0055409C" w:rsidRDefault="00996DCD" w:rsidP="0055409C">
      <w:pPr>
        <w:spacing w:after="0" w:line="480" w:lineRule="auto"/>
        <w:rPr>
          <w:rFonts w:ascii="Times New Roman" w:hAnsi="Times New Roman" w:cs="Times New Roman"/>
          <w:sz w:val="24"/>
          <w:szCs w:val="24"/>
        </w:rPr>
      </w:pPr>
    </w:p>
    <w:p w:rsidR="0055409C" w:rsidRDefault="00613C34" w:rsidP="0055409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Works Cited</w:t>
      </w:r>
    </w:p>
    <w:p w:rsidR="0055409C" w:rsidRDefault="00613C34" w:rsidP="0055409C">
      <w:pPr>
        <w:spacing w:after="0" w:line="480" w:lineRule="auto"/>
        <w:rPr>
          <w:rFonts w:ascii="Times New Roman" w:hAnsi="Times New Roman" w:cs="Times New Roman"/>
          <w:color w:val="222222"/>
          <w:sz w:val="24"/>
          <w:szCs w:val="24"/>
          <w:shd w:val="clear" w:color="auto" w:fill="FFFFFF"/>
        </w:rPr>
      </w:pPr>
      <w:r w:rsidRPr="0055409C">
        <w:rPr>
          <w:rFonts w:ascii="Times New Roman" w:hAnsi="Times New Roman" w:cs="Times New Roman"/>
          <w:color w:val="222222"/>
          <w:sz w:val="24"/>
          <w:szCs w:val="24"/>
          <w:shd w:val="clear" w:color="auto" w:fill="FFFFFF"/>
        </w:rPr>
        <w:t xml:space="preserve">Kramer, Larry D. "Putting the politics back into the political safeguards of </w:t>
      </w:r>
    </w:p>
    <w:p w:rsidR="0055409C" w:rsidRPr="0055409C" w:rsidRDefault="00613C34" w:rsidP="0055409C">
      <w:pPr>
        <w:spacing w:after="0" w:line="480" w:lineRule="auto"/>
        <w:ind w:firstLine="720"/>
        <w:rPr>
          <w:rFonts w:ascii="Times New Roman" w:hAnsi="Times New Roman" w:cs="Times New Roman"/>
          <w:color w:val="222222"/>
          <w:sz w:val="24"/>
          <w:szCs w:val="24"/>
          <w:shd w:val="clear" w:color="auto" w:fill="FFFFFF"/>
        </w:rPr>
      </w:pPr>
      <w:r w:rsidRPr="0055409C">
        <w:rPr>
          <w:rFonts w:ascii="Times New Roman" w:hAnsi="Times New Roman" w:cs="Times New Roman"/>
          <w:color w:val="222222"/>
          <w:sz w:val="24"/>
          <w:szCs w:val="24"/>
          <w:shd w:val="clear" w:color="auto" w:fill="FFFFFF"/>
        </w:rPr>
        <w:t>federalism." </w:t>
      </w:r>
      <w:r w:rsidRPr="0055409C">
        <w:rPr>
          <w:rFonts w:ascii="Times New Roman" w:hAnsi="Times New Roman" w:cs="Times New Roman"/>
          <w:i/>
          <w:iCs/>
          <w:color w:val="222222"/>
          <w:sz w:val="24"/>
          <w:szCs w:val="24"/>
          <w:shd w:val="clear" w:color="auto" w:fill="FFFFFF"/>
        </w:rPr>
        <w:t>Columbia Law Review</w:t>
      </w:r>
      <w:r w:rsidRPr="0055409C">
        <w:rPr>
          <w:rFonts w:ascii="Times New Roman" w:hAnsi="Times New Roman" w:cs="Times New Roman"/>
          <w:color w:val="222222"/>
          <w:sz w:val="24"/>
          <w:szCs w:val="24"/>
          <w:shd w:val="clear" w:color="auto" w:fill="FFFFFF"/>
        </w:rPr>
        <w:t> (2000): 215-293.</w:t>
      </w:r>
    </w:p>
    <w:p w:rsidR="0055409C" w:rsidRDefault="00613C34" w:rsidP="0055409C">
      <w:pPr>
        <w:spacing w:after="0" w:line="480" w:lineRule="auto"/>
        <w:rPr>
          <w:rFonts w:ascii="Times New Roman" w:hAnsi="Times New Roman" w:cs="Times New Roman"/>
          <w:color w:val="222222"/>
          <w:sz w:val="24"/>
          <w:szCs w:val="24"/>
          <w:shd w:val="clear" w:color="auto" w:fill="EBEBEB"/>
        </w:rPr>
      </w:pPr>
      <w:r w:rsidRPr="0055409C">
        <w:rPr>
          <w:rFonts w:ascii="Times New Roman" w:hAnsi="Times New Roman" w:cs="Times New Roman"/>
          <w:color w:val="222222"/>
          <w:sz w:val="24"/>
          <w:szCs w:val="24"/>
          <w:shd w:val="clear" w:color="auto" w:fill="EBEBEB"/>
        </w:rPr>
        <w:t>United States v. Lopez." </w:t>
      </w:r>
      <w:r w:rsidRPr="0055409C">
        <w:rPr>
          <w:rFonts w:ascii="Times New Roman" w:hAnsi="Times New Roman" w:cs="Times New Roman"/>
          <w:i/>
          <w:iCs/>
          <w:color w:val="222222"/>
          <w:sz w:val="24"/>
          <w:szCs w:val="24"/>
          <w:shd w:val="clear" w:color="auto" w:fill="EBEBEB"/>
        </w:rPr>
        <w:t>Oyez,</w:t>
      </w:r>
      <w:r w:rsidRPr="0055409C">
        <w:rPr>
          <w:rFonts w:ascii="Times New Roman" w:hAnsi="Times New Roman" w:cs="Times New Roman"/>
          <w:color w:val="222222"/>
          <w:sz w:val="24"/>
          <w:szCs w:val="24"/>
          <w:shd w:val="clear" w:color="auto" w:fill="EBEBEB"/>
        </w:rPr>
        <w:t xml:space="preserve"> 13 Feb. 2018, </w:t>
      </w:r>
      <w:hyperlink r:id="rId7" w:history="1">
        <w:r w:rsidRPr="00714D8D">
          <w:rPr>
            <w:rStyle w:val="Hyperlink"/>
            <w:rFonts w:ascii="Times New Roman" w:hAnsi="Times New Roman" w:cs="Times New Roman"/>
            <w:sz w:val="24"/>
            <w:szCs w:val="24"/>
            <w:shd w:val="clear" w:color="auto" w:fill="EBEBEB"/>
          </w:rPr>
          <w:t>www.oyez.org/cases/1994/93-1260</w:t>
        </w:r>
      </w:hyperlink>
      <w:r w:rsidRPr="0055409C">
        <w:rPr>
          <w:rFonts w:ascii="Times New Roman" w:hAnsi="Times New Roman" w:cs="Times New Roman"/>
          <w:color w:val="222222"/>
          <w:sz w:val="24"/>
          <w:szCs w:val="24"/>
          <w:shd w:val="clear" w:color="auto" w:fill="EBEBEB"/>
        </w:rPr>
        <w:t>.</w:t>
      </w:r>
    </w:p>
    <w:sectPr w:rsidR="0055409C" w:rsidSect="00602887">
      <w:headerReference w:type="first" r:id="rId8"/>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90C3BE1A" w15:done="0"/>
  <w15:commentEx w15:paraId="17FBFB7E" w15:done="0"/>
  <w15:commentEx w15:paraId="924FD1A2" w15:done="0"/>
  <w15:commentEx w15:paraId="D2211047" w15:done="0"/>
  <w15:commentEx w15:paraId="87AF1112" w15:done="0"/>
  <w15:commentEx w15:paraId="AB4142D7" w15:done="0"/>
  <w15:commentEx w15:paraId="CE09630C" w15:done="0"/>
  <w15:commentEx w15:paraId="3DBC7902" w15:done="0"/>
  <w15:commentEx w15:paraId="6A58DB7A" w15:done="0"/>
  <w15:commentEx w15:paraId="564E185F" w15:done="0"/>
  <w15:commentEx w15:paraId="72314B5B" w15:done="0"/>
  <w15:commentEx w15:paraId="1AFC7932" w15:done="0"/>
  <w15:commentEx w15:paraId="B0F3461D" w15:done="0"/>
  <w15:commentEx w15:paraId="DF6C28DB" w15:done="0"/>
  <w15:commentEx w15:paraId="29F0C8EB" w15:done="0"/>
  <w15:commentEx w15:paraId="6C30E78B" w15:done="0"/>
  <w15:commentEx w15:paraId="A5B95FBD" w15:done="0"/>
  <w15:commentEx w15:paraId="A15896F0" w15:done="0"/>
  <w15:commentEx w15:paraId="B311C63D" w15:done="0"/>
  <w15:commentEx w15:paraId="6625DCCB" w15:done="0"/>
  <w15:commentEx w15:paraId="87A8E66D" w15:done="0"/>
  <w15:commentEx w15:paraId="B03C4485" w15:done="0"/>
  <w15:commentEx w15:paraId="DF1440BA" w15:done="0"/>
  <w15:commentEx w15:paraId="3EA00027" w15:done="0"/>
  <w15:commentEx w15:paraId="80C21F8D" w15:done="0"/>
  <w15:commentEx w15:paraId="661E0964" w15:done="0"/>
  <w15:commentEx w15:paraId="C57BBBFB"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6DCD" w:rsidRDefault="00996DCD">
      <w:pPr>
        <w:spacing w:after="0" w:line="240" w:lineRule="auto"/>
      </w:pPr>
      <w:r>
        <w:separator/>
      </w:r>
    </w:p>
  </w:endnote>
  <w:endnote w:type="continuationSeparator" w:id="0">
    <w:p w:rsidR="00996DCD" w:rsidRDefault="00996D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6DCD" w:rsidRDefault="00996DCD">
      <w:pPr>
        <w:spacing w:after="0" w:line="240" w:lineRule="auto"/>
      </w:pPr>
      <w:r>
        <w:separator/>
      </w:r>
    </w:p>
  </w:footnote>
  <w:footnote w:type="continuationSeparator" w:id="0">
    <w:p w:rsidR="00996DCD" w:rsidRDefault="00996DC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09C" w:rsidRPr="0055409C" w:rsidRDefault="00613C34">
    <w:pPr>
      <w:pStyle w:val="Header"/>
      <w:jc w:val="right"/>
      <w:rPr>
        <w:rFonts w:ascii="Times New Roman" w:hAnsi="Times New Roman" w:cs="Times New Roman"/>
        <w:sz w:val="24"/>
        <w:szCs w:val="24"/>
      </w:rPr>
    </w:pPr>
    <w:r w:rsidRPr="0055409C">
      <w:rPr>
        <w:rFonts w:ascii="Times New Roman" w:hAnsi="Times New Roman" w:cs="Times New Roman"/>
        <w:sz w:val="24"/>
        <w:szCs w:val="24"/>
      </w:rPr>
      <w:t xml:space="preserve">Surname      </w:t>
    </w:r>
    <w:sdt>
      <w:sdtPr>
        <w:rPr>
          <w:rFonts w:ascii="Times New Roman" w:hAnsi="Times New Roman" w:cs="Times New Roman"/>
          <w:sz w:val="24"/>
          <w:szCs w:val="24"/>
        </w:rPr>
        <w:id w:val="-440926928"/>
        <w:docPartObj>
          <w:docPartGallery w:val="Page Numbers (Top of Page)"/>
          <w:docPartUnique/>
        </w:docPartObj>
      </w:sdtPr>
      <w:sdtEndPr>
        <w:rPr>
          <w:noProof/>
        </w:rPr>
      </w:sdtEndPr>
      <w:sdtContent>
        <w:r w:rsidR="000D713B" w:rsidRPr="0055409C">
          <w:rPr>
            <w:rFonts w:ascii="Times New Roman" w:hAnsi="Times New Roman" w:cs="Times New Roman"/>
            <w:sz w:val="24"/>
            <w:szCs w:val="24"/>
          </w:rPr>
          <w:fldChar w:fldCharType="begin"/>
        </w:r>
        <w:r w:rsidRPr="0055409C">
          <w:rPr>
            <w:rFonts w:ascii="Times New Roman" w:hAnsi="Times New Roman" w:cs="Times New Roman"/>
            <w:sz w:val="24"/>
            <w:szCs w:val="24"/>
          </w:rPr>
          <w:instrText xml:space="preserve"> PAGE   \* MERGEFORMAT </w:instrText>
        </w:r>
        <w:r w:rsidR="000D713B" w:rsidRPr="0055409C">
          <w:rPr>
            <w:rFonts w:ascii="Times New Roman" w:hAnsi="Times New Roman" w:cs="Times New Roman"/>
            <w:sz w:val="24"/>
            <w:szCs w:val="24"/>
          </w:rPr>
          <w:fldChar w:fldCharType="separate"/>
        </w:r>
        <w:r w:rsidR="001C4115">
          <w:rPr>
            <w:rFonts w:ascii="Times New Roman" w:hAnsi="Times New Roman" w:cs="Times New Roman"/>
            <w:noProof/>
            <w:sz w:val="24"/>
            <w:szCs w:val="24"/>
          </w:rPr>
          <w:t>1</w:t>
        </w:r>
        <w:r w:rsidR="000D713B" w:rsidRPr="0055409C">
          <w:rPr>
            <w:rFonts w:ascii="Times New Roman" w:hAnsi="Times New Roman" w:cs="Times New Roman"/>
            <w:noProof/>
            <w:sz w:val="24"/>
            <w:szCs w:val="24"/>
          </w:rPr>
          <w:fldChar w:fldCharType="end"/>
        </w:r>
      </w:sdtContent>
    </w:sdt>
  </w:p>
  <w:p w:rsidR="0055409C" w:rsidRDefault="00996DC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6A09FD"/>
    <w:multiLevelType w:val="hybridMultilevel"/>
    <w:tmpl w:val="A27CE578"/>
    <w:lvl w:ilvl="0" w:tplc="B8DC7308">
      <w:start w:val="1"/>
      <w:numFmt w:val="bullet"/>
      <w:lvlText w:val=""/>
      <w:lvlJc w:val="left"/>
      <w:pPr>
        <w:ind w:left="720" w:hanging="360"/>
      </w:pPr>
      <w:rPr>
        <w:rFonts w:ascii="Symbol" w:hAnsi="Symbol" w:hint="default"/>
      </w:rPr>
    </w:lvl>
    <w:lvl w:ilvl="1" w:tplc="98DA6B20" w:tentative="1">
      <w:start w:val="1"/>
      <w:numFmt w:val="bullet"/>
      <w:lvlText w:val="o"/>
      <w:lvlJc w:val="left"/>
      <w:pPr>
        <w:ind w:left="1440" w:hanging="360"/>
      </w:pPr>
      <w:rPr>
        <w:rFonts w:ascii="Courier New" w:hAnsi="Courier New" w:cs="Courier New" w:hint="default"/>
      </w:rPr>
    </w:lvl>
    <w:lvl w:ilvl="2" w:tplc="13BC841E" w:tentative="1">
      <w:start w:val="1"/>
      <w:numFmt w:val="bullet"/>
      <w:lvlText w:val=""/>
      <w:lvlJc w:val="left"/>
      <w:pPr>
        <w:ind w:left="2160" w:hanging="360"/>
      </w:pPr>
      <w:rPr>
        <w:rFonts w:ascii="Wingdings" w:hAnsi="Wingdings" w:hint="default"/>
      </w:rPr>
    </w:lvl>
    <w:lvl w:ilvl="3" w:tplc="E3F27D7A" w:tentative="1">
      <w:start w:val="1"/>
      <w:numFmt w:val="bullet"/>
      <w:lvlText w:val=""/>
      <w:lvlJc w:val="left"/>
      <w:pPr>
        <w:ind w:left="2880" w:hanging="360"/>
      </w:pPr>
      <w:rPr>
        <w:rFonts w:ascii="Symbol" w:hAnsi="Symbol" w:hint="default"/>
      </w:rPr>
    </w:lvl>
    <w:lvl w:ilvl="4" w:tplc="3962E570" w:tentative="1">
      <w:start w:val="1"/>
      <w:numFmt w:val="bullet"/>
      <w:lvlText w:val="o"/>
      <w:lvlJc w:val="left"/>
      <w:pPr>
        <w:ind w:left="3600" w:hanging="360"/>
      </w:pPr>
      <w:rPr>
        <w:rFonts w:ascii="Courier New" w:hAnsi="Courier New" w:cs="Courier New" w:hint="default"/>
      </w:rPr>
    </w:lvl>
    <w:lvl w:ilvl="5" w:tplc="A3FEB71A" w:tentative="1">
      <w:start w:val="1"/>
      <w:numFmt w:val="bullet"/>
      <w:lvlText w:val=""/>
      <w:lvlJc w:val="left"/>
      <w:pPr>
        <w:ind w:left="4320" w:hanging="360"/>
      </w:pPr>
      <w:rPr>
        <w:rFonts w:ascii="Wingdings" w:hAnsi="Wingdings" w:hint="default"/>
      </w:rPr>
    </w:lvl>
    <w:lvl w:ilvl="6" w:tplc="1212A8B2" w:tentative="1">
      <w:start w:val="1"/>
      <w:numFmt w:val="bullet"/>
      <w:lvlText w:val=""/>
      <w:lvlJc w:val="left"/>
      <w:pPr>
        <w:ind w:left="5040" w:hanging="360"/>
      </w:pPr>
      <w:rPr>
        <w:rFonts w:ascii="Symbol" w:hAnsi="Symbol" w:hint="default"/>
      </w:rPr>
    </w:lvl>
    <w:lvl w:ilvl="7" w:tplc="626E8650" w:tentative="1">
      <w:start w:val="1"/>
      <w:numFmt w:val="bullet"/>
      <w:lvlText w:val="o"/>
      <w:lvlJc w:val="left"/>
      <w:pPr>
        <w:ind w:left="5760" w:hanging="360"/>
      </w:pPr>
      <w:rPr>
        <w:rFonts w:ascii="Courier New" w:hAnsi="Courier New" w:cs="Courier New" w:hint="default"/>
      </w:rPr>
    </w:lvl>
    <w:lvl w:ilvl="8" w:tplc="22EC3000" w:tentative="1">
      <w:start w:val="1"/>
      <w:numFmt w:val="bullet"/>
      <w:lvlText w:val=""/>
      <w:lvlJc w:val="left"/>
      <w:pPr>
        <w:ind w:left="6480" w:hanging="360"/>
      </w:pPr>
      <w:rPr>
        <w:rFonts w:ascii="Wingdings" w:hAnsi="Wingdings" w:hint="default"/>
      </w:rPr>
    </w:lvl>
  </w:abstractNum>
  <w:abstractNum w:abstractNumId="1">
    <w:nsid w:val="2D0A0436"/>
    <w:multiLevelType w:val="hybridMultilevel"/>
    <w:tmpl w:val="8DE87484"/>
    <w:lvl w:ilvl="0" w:tplc="56B24C1C">
      <w:start w:val="1"/>
      <w:numFmt w:val="bullet"/>
      <w:lvlText w:val=""/>
      <w:lvlJc w:val="left"/>
      <w:pPr>
        <w:ind w:left="720" w:hanging="360"/>
      </w:pPr>
      <w:rPr>
        <w:rFonts w:ascii="Symbol" w:hAnsi="Symbol" w:hint="default"/>
      </w:rPr>
    </w:lvl>
    <w:lvl w:ilvl="1" w:tplc="62E0B114" w:tentative="1">
      <w:start w:val="1"/>
      <w:numFmt w:val="bullet"/>
      <w:lvlText w:val="o"/>
      <w:lvlJc w:val="left"/>
      <w:pPr>
        <w:ind w:left="1440" w:hanging="360"/>
      </w:pPr>
      <w:rPr>
        <w:rFonts w:ascii="Courier New" w:hAnsi="Courier New" w:cs="Courier New" w:hint="default"/>
      </w:rPr>
    </w:lvl>
    <w:lvl w:ilvl="2" w:tplc="E1DC5838" w:tentative="1">
      <w:start w:val="1"/>
      <w:numFmt w:val="bullet"/>
      <w:lvlText w:val=""/>
      <w:lvlJc w:val="left"/>
      <w:pPr>
        <w:ind w:left="2160" w:hanging="360"/>
      </w:pPr>
      <w:rPr>
        <w:rFonts w:ascii="Wingdings" w:hAnsi="Wingdings" w:hint="default"/>
      </w:rPr>
    </w:lvl>
    <w:lvl w:ilvl="3" w:tplc="BDD652AA" w:tentative="1">
      <w:start w:val="1"/>
      <w:numFmt w:val="bullet"/>
      <w:lvlText w:val=""/>
      <w:lvlJc w:val="left"/>
      <w:pPr>
        <w:ind w:left="2880" w:hanging="360"/>
      </w:pPr>
      <w:rPr>
        <w:rFonts w:ascii="Symbol" w:hAnsi="Symbol" w:hint="default"/>
      </w:rPr>
    </w:lvl>
    <w:lvl w:ilvl="4" w:tplc="D88CEF90" w:tentative="1">
      <w:start w:val="1"/>
      <w:numFmt w:val="bullet"/>
      <w:lvlText w:val="o"/>
      <w:lvlJc w:val="left"/>
      <w:pPr>
        <w:ind w:left="3600" w:hanging="360"/>
      </w:pPr>
      <w:rPr>
        <w:rFonts w:ascii="Courier New" w:hAnsi="Courier New" w:cs="Courier New" w:hint="default"/>
      </w:rPr>
    </w:lvl>
    <w:lvl w:ilvl="5" w:tplc="20B4DFF6" w:tentative="1">
      <w:start w:val="1"/>
      <w:numFmt w:val="bullet"/>
      <w:lvlText w:val=""/>
      <w:lvlJc w:val="left"/>
      <w:pPr>
        <w:ind w:left="4320" w:hanging="360"/>
      </w:pPr>
      <w:rPr>
        <w:rFonts w:ascii="Wingdings" w:hAnsi="Wingdings" w:hint="default"/>
      </w:rPr>
    </w:lvl>
    <w:lvl w:ilvl="6" w:tplc="81341C6A" w:tentative="1">
      <w:start w:val="1"/>
      <w:numFmt w:val="bullet"/>
      <w:lvlText w:val=""/>
      <w:lvlJc w:val="left"/>
      <w:pPr>
        <w:ind w:left="5040" w:hanging="360"/>
      </w:pPr>
      <w:rPr>
        <w:rFonts w:ascii="Symbol" w:hAnsi="Symbol" w:hint="default"/>
      </w:rPr>
    </w:lvl>
    <w:lvl w:ilvl="7" w:tplc="5A90C2B6" w:tentative="1">
      <w:start w:val="1"/>
      <w:numFmt w:val="bullet"/>
      <w:lvlText w:val="o"/>
      <w:lvlJc w:val="left"/>
      <w:pPr>
        <w:ind w:left="5760" w:hanging="360"/>
      </w:pPr>
      <w:rPr>
        <w:rFonts w:ascii="Courier New" w:hAnsi="Courier New" w:cs="Courier New" w:hint="default"/>
      </w:rPr>
    </w:lvl>
    <w:lvl w:ilvl="8" w:tplc="4B58C6FA" w:tentative="1">
      <w:start w:val="1"/>
      <w:numFmt w:val="bullet"/>
      <w:lvlText w:val=""/>
      <w:lvlJc w:val="left"/>
      <w:pPr>
        <w:ind w:left="6480" w:hanging="360"/>
      </w:pPr>
      <w:rPr>
        <w:rFonts w:ascii="Wingdings" w:hAnsi="Wingdings" w:hint="default"/>
      </w:rPr>
    </w:lvl>
  </w:abstractNum>
  <w:abstractNum w:abstractNumId="2">
    <w:nsid w:val="32005760"/>
    <w:multiLevelType w:val="hybridMultilevel"/>
    <w:tmpl w:val="6AEA2D9E"/>
    <w:lvl w:ilvl="0" w:tplc="16787A2E">
      <w:start w:val="1"/>
      <w:numFmt w:val="bullet"/>
      <w:lvlText w:val=""/>
      <w:lvlJc w:val="left"/>
      <w:pPr>
        <w:ind w:left="720" w:hanging="360"/>
      </w:pPr>
      <w:rPr>
        <w:rFonts w:ascii="Symbol" w:hAnsi="Symbol" w:hint="default"/>
      </w:rPr>
    </w:lvl>
    <w:lvl w:ilvl="1" w:tplc="DA92B2F6" w:tentative="1">
      <w:start w:val="1"/>
      <w:numFmt w:val="bullet"/>
      <w:lvlText w:val="o"/>
      <w:lvlJc w:val="left"/>
      <w:pPr>
        <w:ind w:left="1440" w:hanging="360"/>
      </w:pPr>
      <w:rPr>
        <w:rFonts w:ascii="Courier New" w:hAnsi="Courier New" w:cs="Courier New" w:hint="default"/>
      </w:rPr>
    </w:lvl>
    <w:lvl w:ilvl="2" w:tplc="F5043A98" w:tentative="1">
      <w:start w:val="1"/>
      <w:numFmt w:val="bullet"/>
      <w:lvlText w:val=""/>
      <w:lvlJc w:val="left"/>
      <w:pPr>
        <w:ind w:left="2160" w:hanging="360"/>
      </w:pPr>
      <w:rPr>
        <w:rFonts w:ascii="Wingdings" w:hAnsi="Wingdings" w:hint="default"/>
      </w:rPr>
    </w:lvl>
    <w:lvl w:ilvl="3" w:tplc="546AFC78" w:tentative="1">
      <w:start w:val="1"/>
      <w:numFmt w:val="bullet"/>
      <w:lvlText w:val=""/>
      <w:lvlJc w:val="left"/>
      <w:pPr>
        <w:ind w:left="2880" w:hanging="360"/>
      </w:pPr>
      <w:rPr>
        <w:rFonts w:ascii="Symbol" w:hAnsi="Symbol" w:hint="default"/>
      </w:rPr>
    </w:lvl>
    <w:lvl w:ilvl="4" w:tplc="443C47B2" w:tentative="1">
      <w:start w:val="1"/>
      <w:numFmt w:val="bullet"/>
      <w:lvlText w:val="o"/>
      <w:lvlJc w:val="left"/>
      <w:pPr>
        <w:ind w:left="3600" w:hanging="360"/>
      </w:pPr>
      <w:rPr>
        <w:rFonts w:ascii="Courier New" w:hAnsi="Courier New" w:cs="Courier New" w:hint="default"/>
      </w:rPr>
    </w:lvl>
    <w:lvl w:ilvl="5" w:tplc="EE6AEECC" w:tentative="1">
      <w:start w:val="1"/>
      <w:numFmt w:val="bullet"/>
      <w:lvlText w:val=""/>
      <w:lvlJc w:val="left"/>
      <w:pPr>
        <w:ind w:left="4320" w:hanging="360"/>
      </w:pPr>
      <w:rPr>
        <w:rFonts w:ascii="Wingdings" w:hAnsi="Wingdings" w:hint="default"/>
      </w:rPr>
    </w:lvl>
    <w:lvl w:ilvl="6" w:tplc="C19AC356" w:tentative="1">
      <w:start w:val="1"/>
      <w:numFmt w:val="bullet"/>
      <w:lvlText w:val=""/>
      <w:lvlJc w:val="left"/>
      <w:pPr>
        <w:ind w:left="5040" w:hanging="360"/>
      </w:pPr>
      <w:rPr>
        <w:rFonts w:ascii="Symbol" w:hAnsi="Symbol" w:hint="default"/>
      </w:rPr>
    </w:lvl>
    <w:lvl w:ilvl="7" w:tplc="50100DE0" w:tentative="1">
      <w:start w:val="1"/>
      <w:numFmt w:val="bullet"/>
      <w:lvlText w:val="o"/>
      <w:lvlJc w:val="left"/>
      <w:pPr>
        <w:ind w:left="5760" w:hanging="360"/>
      </w:pPr>
      <w:rPr>
        <w:rFonts w:ascii="Courier New" w:hAnsi="Courier New" w:cs="Courier New" w:hint="default"/>
      </w:rPr>
    </w:lvl>
    <w:lvl w:ilvl="8" w:tplc="8B2EDC4E" w:tentative="1">
      <w:start w:val="1"/>
      <w:numFmt w:val="bullet"/>
      <w:lvlText w:val=""/>
      <w:lvlJc w:val="left"/>
      <w:pPr>
        <w:ind w:left="6480" w:hanging="360"/>
      </w:pPr>
      <w:rPr>
        <w:rFonts w:ascii="Wingdings" w:hAnsi="Wingdings" w:hint="default"/>
      </w:rPr>
    </w:lvl>
  </w:abstractNum>
  <w:abstractNum w:abstractNumId="3">
    <w:nsid w:val="6DC030D2"/>
    <w:multiLevelType w:val="hybridMultilevel"/>
    <w:tmpl w:val="68CE20FC"/>
    <w:lvl w:ilvl="0" w:tplc="99863B44">
      <w:start w:val="1"/>
      <w:numFmt w:val="bullet"/>
      <w:lvlText w:val=""/>
      <w:lvlJc w:val="left"/>
      <w:pPr>
        <w:ind w:left="720" w:hanging="360"/>
      </w:pPr>
      <w:rPr>
        <w:rFonts w:ascii="Symbol" w:hAnsi="Symbol" w:hint="default"/>
      </w:rPr>
    </w:lvl>
    <w:lvl w:ilvl="1" w:tplc="13087C86" w:tentative="1">
      <w:start w:val="1"/>
      <w:numFmt w:val="bullet"/>
      <w:lvlText w:val="o"/>
      <w:lvlJc w:val="left"/>
      <w:pPr>
        <w:ind w:left="1440" w:hanging="360"/>
      </w:pPr>
      <w:rPr>
        <w:rFonts w:ascii="Courier New" w:hAnsi="Courier New" w:cs="Courier New" w:hint="default"/>
      </w:rPr>
    </w:lvl>
    <w:lvl w:ilvl="2" w:tplc="BF326740" w:tentative="1">
      <w:start w:val="1"/>
      <w:numFmt w:val="bullet"/>
      <w:lvlText w:val=""/>
      <w:lvlJc w:val="left"/>
      <w:pPr>
        <w:ind w:left="2160" w:hanging="360"/>
      </w:pPr>
      <w:rPr>
        <w:rFonts w:ascii="Wingdings" w:hAnsi="Wingdings" w:hint="default"/>
      </w:rPr>
    </w:lvl>
    <w:lvl w:ilvl="3" w:tplc="85EA01D2" w:tentative="1">
      <w:start w:val="1"/>
      <w:numFmt w:val="bullet"/>
      <w:lvlText w:val=""/>
      <w:lvlJc w:val="left"/>
      <w:pPr>
        <w:ind w:left="2880" w:hanging="360"/>
      </w:pPr>
      <w:rPr>
        <w:rFonts w:ascii="Symbol" w:hAnsi="Symbol" w:hint="default"/>
      </w:rPr>
    </w:lvl>
    <w:lvl w:ilvl="4" w:tplc="2C40EA6A" w:tentative="1">
      <w:start w:val="1"/>
      <w:numFmt w:val="bullet"/>
      <w:lvlText w:val="o"/>
      <w:lvlJc w:val="left"/>
      <w:pPr>
        <w:ind w:left="3600" w:hanging="360"/>
      </w:pPr>
      <w:rPr>
        <w:rFonts w:ascii="Courier New" w:hAnsi="Courier New" w:cs="Courier New" w:hint="default"/>
      </w:rPr>
    </w:lvl>
    <w:lvl w:ilvl="5" w:tplc="6414F060" w:tentative="1">
      <w:start w:val="1"/>
      <w:numFmt w:val="bullet"/>
      <w:lvlText w:val=""/>
      <w:lvlJc w:val="left"/>
      <w:pPr>
        <w:ind w:left="4320" w:hanging="360"/>
      </w:pPr>
      <w:rPr>
        <w:rFonts w:ascii="Wingdings" w:hAnsi="Wingdings" w:hint="default"/>
      </w:rPr>
    </w:lvl>
    <w:lvl w:ilvl="6" w:tplc="4D2E31C8" w:tentative="1">
      <w:start w:val="1"/>
      <w:numFmt w:val="bullet"/>
      <w:lvlText w:val=""/>
      <w:lvlJc w:val="left"/>
      <w:pPr>
        <w:ind w:left="5040" w:hanging="360"/>
      </w:pPr>
      <w:rPr>
        <w:rFonts w:ascii="Symbol" w:hAnsi="Symbol" w:hint="default"/>
      </w:rPr>
    </w:lvl>
    <w:lvl w:ilvl="7" w:tplc="1096B84E" w:tentative="1">
      <w:start w:val="1"/>
      <w:numFmt w:val="bullet"/>
      <w:lvlText w:val="o"/>
      <w:lvlJc w:val="left"/>
      <w:pPr>
        <w:ind w:left="5760" w:hanging="360"/>
      </w:pPr>
      <w:rPr>
        <w:rFonts w:ascii="Courier New" w:hAnsi="Courier New" w:cs="Courier New" w:hint="default"/>
      </w:rPr>
    </w:lvl>
    <w:lvl w:ilvl="8" w:tplc="09B47BF0" w:tentative="1">
      <w:start w:val="1"/>
      <w:numFmt w:val="bullet"/>
      <w:lvlText w:val=""/>
      <w:lvlJc w:val="left"/>
      <w:pPr>
        <w:ind w:left="6480" w:hanging="360"/>
      </w:pPr>
      <w:rPr>
        <w:rFonts w:ascii="Wingdings" w:hAnsi="Wingdings" w:hint="default"/>
      </w:rPr>
    </w:lvl>
  </w:abstractNum>
  <w:abstractNum w:abstractNumId="4">
    <w:nsid w:val="72EA3FDF"/>
    <w:multiLevelType w:val="hybridMultilevel"/>
    <w:tmpl w:val="188AA3F2"/>
    <w:lvl w:ilvl="0" w:tplc="A14C4F46">
      <w:start w:val="1"/>
      <w:numFmt w:val="bullet"/>
      <w:lvlText w:val=""/>
      <w:lvlJc w:val="left"/>
      <w:pPr>
        <w:ind w:left="720" w:hanging="360"/>
      </w:pPr>
      <w:rPr>
        <w:rFonts w:ascii="Symbol" w:hAnsi="Symbol" w:hint="default"/>
      </w:rPr>
    </w:lvl>
    <w:lvl w:ilvl="1" w:tplc="991AEB8C" w:tentative="1">
      <w:start w:val="1"/>
      <w:numFmt w:val="bullet"/>
      <w:lvlText w:val="o"/>
      <w:lvlJc w:val="left"/>
      <w:pPr>
        <w:ind w:left="1440" w:hanging="360"/>
      </w:pPr>
      <w:rPr>
        <w:rFonts w:ascii="Courier New" w:hAnsi="Courier New" w:cs="Courier New" w:hint="default"/>
      </w:rPr>
    </w:lvl>
    <w:lvl w:ilvl="2" w:tplc="DFF67DC4" w:tentative="1">
      <w:start w:val="1"/>
      <w:numFmt w:val="bullet"/>
      <w:lvlText w:val=""/>
      <w:lvlJc w:val="left"/>
      <w:pPr>
        <w:ind w:left="2160" w:hanging="360"/>
      </w:pPr>
      <w:rPr>
        <w:rFonts w:ascii="Wingdings" w:hAnsi="Wingdings" w:hint="default"/>
      </w:rPr>
    </w:lvl>
    <w:lvl w:ilvl="3" w:tplc="48E02ECE" w:tentative="1">
      <w:start w:val="1"/>
      <w:numFmt w:val="bullet"/>
      <w:lvlText w:val=""/>
      <w:lvlJc w:val="left"/>
      <w:pPr>
        <w:ind w:left="2880" w:hanging="360"/>
      </w:pPr>
      <w:rPr>
        <w:rFonts w:ascii="Symbol" w:hAnsi="Symbol" w:hint="default"/>
      </w:rPr>
    </w:lvl>
    <w:lvl w:ilvl="4" w:tplc="1C7AF604" w:tentative="1">
      <w:start w:val="1"/>
      <w:numFmt w:val="bullet"/>
      <w:lvlText w:val="o"/>
      <w:lvlJc w:val="left"/>
      <w:pPr>
        <w:ind w:left="3600" w:hanging="360"/>
      </w:pPr>
      <w:rPr>
        <w:rFonts w:ascii="Courier New" w:hAnsi="Courier New" w:cs="Courier New" w:hint="default"/>
      </w:rPr>
    </w:lvl>
    <w:lvl w:ilvl="5" w:tplc="C3147744" w:tentative="1">
      <w:start w:val="1"/>
      <w:numFmt w:val="bullet"/>
      <w:lvlText w:val=""/>
      <w:lvlJc w:val="left"/>
      <w:pPr>
        <w:ind w:left="4320" w:hanging="360"/>
      </w:pPr>
      <w:rPr>
        <w:rFonts w:ascii="Wingdings" w:hAnsi="Wingdings" w:hint="default"/>
      </w:rPr>
    </w:lvl>
    <w:lvl w:ilvl="6" w:tplc="0BFAF34C" w:tentative="1">
      <w:start w:val="1"/>
      <w:numFmt w:val="bullet"/>
      <w:lvlText w:val=""/>
      <w:lvlJc w:val="left"/>
      <w:pPr>
        <w:ind w:left="5040" w:hanging="360"/>
      </w:pPr>
      <w:rPr>
        <w:rFonts w:ascii="Symbol" w:hAnsi="Symbol" w:hint="default"/>
      </w:rPr>
    </w:lvl>
    <w:lvl w:ilvl="7" w:tplc="6F14D28C" w:tentative="1">
      <w:start w:val="1"/>
      <w:numFmt w:val="bullet"/>
      <w:lvlText w:val="o"/>
      <w:lvlJc w:val="left"/>
      <w:pPr>
        <w:ind w:left="5760" w:hanging="360"/>
      </w:pPr>
      <w:rPr>
        <w:rFonts w:ascii="Courier New" w:hAnsi="Courier New" w:cs="Courier New" w:hint="default"/>
      </w:rPr>
    </w:lvl>
    <w:lvl w:ilvl="8" w:tplc="C82AA04E"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8E377F"/>
    <w:rsid w:val="000D713B"/>
    <w:rsid w:val="001C4115"/>
    <w:rsid w:val="00613C34"/>
    <w:rsid w:val="006F6B60"/>
    <w:rsid w:val="008E377F"/>
    <w:rsid w:val="00996DC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13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0D713B"/>
    <w:pPr>
      <w:spacing w:line="240" w:lineRule="auto"/>
    </w:pPr>
    <w:rPr>
      <w:sz w:val="20"/>
      <w:szCs w:val="20"/>
    </w:rPr>
  </w:style>
  <w:style w:type="character" w:customStyle="1" w:styleId="CommentTextChar">
    <w:name w:val="Comment Text Char"/>
    <w:basedOn w:val="DefaultParagraphFont"/>
    <w:link w:val="CommentText"/>
    <w:uiPriority w:val="99"/>
    <w:semiHidden/>
    <w:rsid w:val="000D713B"/>
    <w:rPr>
      <w:sz w:val="20"/>
      <w:szCs w:val="20"/>
    </w:rPr>
  </w:style>
  <w:style w:type="paragraph" w:styleId="BalloonText">
    <w:name w:val="Balloon Text"/>
    <w:basedOn w:val="Normal"/>
    <w:link w:val="BalloonTextChar"/>
    <w:uiPriority w:val="99"/>
    <w:semiHidden/>
    <w:unhideWhenUsed/>
    <w:rsid w:val="009D19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19E6"/>
    <w:rPr>
      <w:rFonts w:ascii="Tahoma" w:hAnsi="Tahoma" w:cs="Tahoma"/>
      <w:sz w:val="16"/>
      <w:szCs w:val="16"/>
    </w:rPr>
  </w:style>
  <w:style w:type="paragraph" w:styleId="ListParagraph">
    <w:name w:val="List Paragraph"/>
    <w:basedOn w:val="Normal"/>
    <w:uiPriority w:val="34"/>
    <w:qFormat/>
    <w:rsid w:val="004407EA"/>
    <w:pPr>
      <w:ind w:left="720"/>
      <w:contextualSpacing/>
    </w:pPr>
  </w:style>
  <w:style w:type="paragraph" w:styleId="Header">
    <w:name w:val="header"/>
    <w:basedOn w:val="Normal"/>
    <w:link w:val="HeaderChar"/>
    <w:uiPriority w:val="99"/>
    <w:unhideWhenUsed/>
    <w:rsid w:val="005540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09C"/>
  </w:style>
  <w:style w:type="paragraph" w:styleId="Footer">
    <w:name w:val="footer"/>
    <w:basedOn w:val="Normal"/>
    <w:link w:val="FooterChar"/>
    <w:uiPriority w:val="99"/>
    <w:unhideWhenUsed/>
    <w:rsid w:val="005540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09C"/>
  </w:style>
  <w:style w:type="character" w:styleId="Hyperlink">
    <w:name w:val="Hyperlink"/>
    <w:basedOn w:val="DefaultParagraphFont"/>
    <w:uiPriority w:val="99"/>
    <w:unhideWhenUsed/>
    <w:rsid w:val="005C500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D19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19E6"/>
    <w:rPr>
      <w:rFonts w:ascii="Tahoma" w:hAnsi="Tahoma" w:cs="Tahoma"/>
      <w:sz w:val="16"/>
      <w:szCs w:val="16"/>
    </w:rPr>
  </w:style>
  <w:style w:type="paragraph" w:styleId="ListParagraph">
    <w:name w:val="List Paragraph"/>
    <w:basedOn w:val="Normal"/>
    <w:uiPriority w:val="34"/>
    <w:qFormat/>
    <w:rsid w:val="004407EA"/>
    <w:pPr>
      <w:ind w:left="720"/>
      <w:contextualSpacing/>
    </w:pPr>
  </w:style>
  <w:style w:type="paragraph" w:styleId="Header">
    <w:name w:val="header"/>
    <w:basedOn w:val="Normal"/>
    <w:link w:val="HeaderChar"/>
    <w:uiPriority w:val="99"/>
    <w:unhideWhenUsed/>
    <w:rsid w:val="005540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09C"/>
  </w:style>
  <w:style w:type="paragraph" w:styleId="Footer">
    <w:name w:val="footer"/>
    <w:basedOn w:val="Normal"/>
    <w:link w:val="FooterChar"/>
    <w:uiPriority w:val="99"/>
    <w:unhideWhenUsed/>
    <w:rsid w:val="005540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09C"/>
  </w:style>
  <w:style w:type="character" w:styleId="Hyperlink">
    <w:name w:val="Hyperlink"/>
    <w:basedOn w:val="DefaultParagraphFont"/>
    <w:uiPriority w:val="99"/>
    <w:unhideWhenUsed/>
    <w:rsid w:val="005C50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oyez.org/cases/1994/93-1260" TargetMode="Externa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589</Words>
  <Characters>3362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2018-02-13T09:07:00Z</dcterms:created>
  <dcterms:modified xsi:type="dcterms:W3CDTF">2018-02-13T09:07:00Z</dcterms:modified>
</cp:coreProperties>
</file>